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21"/>
      </w:tblGrid>
      <w:tr w:rsidR="003C34F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221" w:type="dxa"/>
          </w:tcPr>
          <w:p w:rsidR="003C34FE" w:rsidRDefault="003C34FE">
            <w:pPr>
              <w:pStyle w:val="Default"/>
            </w:pPr>
            <w:r w:rsidRPr="003C34FE">
              <w:t xml:space="preserve">ΠΑΡΑΡΤΗΜΑ </w:t>
            </w:r>
            <w:r>
              <w:t>ΤΗΣ ΕΓΚΥΚΛΙΟΥ ΤΟΥ ΥΠΠΕΘ</w:t>
            </w:r>
          </w:p>
          <w:p w:rsidR="003C34FE" w:rsidRDefault="003C34F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Μαρούσι, 3-8-2018 </w:t>
            </w:r>
          </w:p>
          <w:p w:rsidR="003C34FE" w:rsidRDefault="003C34FE" w:rsidP="003C34F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Αριθ. πρωτ.:32412/Ν1 </w:t>
            </w:r>
          </w:p>
        </w:tc>
      </w:tr>
    </w:tbl>
    <w:p w:rsidR="003C34FE" w:rsidRPr="003C34FE" w:rsidRDefault="003C34FE" w:rsidP="003C34FE">
      <w:pPr>
        <w:pStyle w:val="Default"/>
      </w:pPr>
    </w:p>
    <w:p w:rsidR="003C34FE" w:rsidRPr="003C34FE" w:rsidRDefault="003C34FE" w:rsidP="003C34FE">
      <w:pPr>
        <w:pStyle w:val="Default"/>
        <w:rPr>
          <w:sz w:val="28"/>
          <w:szCs w:val="28"/>
        </w:rPr>
      </w:pPr>
      <w:r w:rsidRPr="003C34FE">
        <w:rPr>
          <w:b/>
          <w:bCs/>
          <w:sz w:val="28"/>
          <w:szCs w:val="28"/>
        </w:rPr>
        <w:t xml:space="preserve">Δικαιολογητικά για την έκδοση πράξης πρόσληψης εκπαιδευτικού σε ιδιωτική σχολική μονάδα. </w:t>
      </w:r>
    </w:p>
    <w:p w:rsidR="003C34FE" w:rsidRPr="003C34FE" w:rsidRDefault="003C34FE" w:rsidP="003C34FE">
      <w:pPr>
        <w:pStyle w:val="Default"/>
        <w:spacing w:after="68"/>
        <w:rPr>
          <w:sz w:val="28"/>
          <w:szCs w:val="28"/>
        </w:rPr>
      </w:pPr>
      <w:r w:rsidRPr="003C34FE">
        <w:rPr>
          <w:b/>
          <w:bCs/>
          <w:sz w:val="28"/>
          <w:szCs w:val="28"/>
        </w:rPr>
        <w:t xml:space="preserve">1. </w:t>
      </w:r>
      <w:r w:rsidRPr="003C34FE">
        <w:rPr>
          <w:sz w:val="28"/>
          <w:szCs w:val="28"/>
        </w:rPr>
        <w:t>Έγγραφη πρόταση του/της ιδιοκτήτη/</w:t>
      </w:r>
      <w:proofErr w:type="spellStart"/>
      <w:r w:rsidRPr="003C34FE">
        <w:rPr>
          <w:sz w:val="28"/>
          <w:szCs w:val="28"/>
        </w:rPr>
        <w:t>τριας</w:t>
      </w:r>
      <w:proofErr w:type="spellEnd"/>
      <w:r w:rsidRPr="003C34FE">
        <w:rPr>
          <w:sz w:val="28"/>
          <w:szCs w:val="28"/>
        </w:rPr>
        <w:t xml:space="preserve"> ή του/της νομίμου εκπροσώπου της ιδιωτικής σχολικής μονάδας (άρθρο 29, παρ.1 του ν.682/1977). </w:t>
      </w:r>
    </w:p>
    <w:p w:rsidR="003C34FE" w:rsidRPr="003C34FE" w:rsidRDefault="003C34FE" w:rsidP="003C34FE">
      <w:pPr>
        <w:pStyle w:val="Default"/>
        <w:spacing w:after="68"/>
        <w:rPr>
          <w:sz w:val="28"/>
          <w:szCs w:val="28"/>
        </w:rPr>
      </w:pPr>
      <w:r w:rsidRPr="003C34FE">
        <w:rPr>
          <w:b/>
          <w:bCs/>
          <w:sz w:val="28"/>
          <w:szCs w:val="28"/>
        </w:rPr>
        <w:t xml:space="preserve">2. </w:t>
      </w:r>
      <w:r w:rsidRPr="003C34FE">
        <w:rPr>
          <w:sz w:val="28"/>
          <w:szCs w:val="28"/>
        </w:rPr>
        <w:t>Φωτοαντίγραφο/α του/των τίτλου/</w:t>
      </w:r>
      <w:proofErr w:type="spellStart"/>
      <w:r w:rsidRPr="003C34FE">
        <w:rPr>
          <w:sz w:val="28"/>
          <w:szCs w:val="28"/>
        </w:rPr>
        <w:t>λων</w:t>
      </w:r>
      <w:proofErr w:type="spellEnd"/>
      <w:r w:rsidRPr="003C34FE">
        <w:rPr>
          <w:sz w:val="28"/>
          <w:szCs w:val="28"/>
        </w:rPr>
        <w:t xml:space="preserve"> σπουδών της/του προτεινόμενης/νου </w:t>
      </w:r>
      <w:proofErr w:type="spellStart"/>
      <w:r w:rsidRPr="003C34FE">
        <w:rPr>
          <w:sz w:val="28"/>
          <w:szCs w:val="28"/>
        </w:rPr>
        <w:t>εκπ</w:t>
      </w:r>
      <w:proofErr w:type="spellEnd"/>
      <w:r w:rsidRPr="003C34FE">
        <w:rPr>
          <w:sz w:val="28"/>
          <w:szCs w:val="28"/>
        </w:rPr>
        <w:t>/</w:t>
      </w:r>
      <w:proofErr w:type="spellStart"/>
      <w:r w:rsidRPr="003C34FE">
        <w:rPr>
          <w:sz w:val="28"/>
          <w:szCs w:val="28"/>
        </w:rPr>
        <w:t>κού</w:t>
      </w:r>
      <w:proofErr w:type="spellEnd"/>
      <w:r w:rsidRPr="003C34FE">
        <w:rPr>
          <w:sz w:val="28"/>
          <w:szCs w:val="28"/>
        </w:rPr>
        <w:t xml:space="preserve">. </w:t>
      </w:r>
    </w:p>
    <w:p w:rsidR="003C34FE" w:rsidRPr="003C34FE" w:rsidRDefault="003C34FE" w:rsidP="003C34FE">
      <w:pPr>
        <w:pStyle w:val="Default"/>
        <w:spacing w:after="68"/>
        <w:rPr>
          <w:sz w:val="28"/>
          <w:szCs w:val="28"/>
        </w:rPr>
      </w:pPr>
      <w:r w:rsidRPr="003C34FE">
        <w:rPr>
          <w:b/>
          <w:bCs/>
          <w:sz w:val="28"/>
          <w:szCs w:val="28"/>
        </w:rPr>
        <w:t xml:space="preserve">3. </w:t>
      </w:r>
      <w:r w:rsidRPr="003C34FE">
        <w:rPr>
          <w:sz w:val="28"/>
          <w:szCs w:val="28"/>
        </w:rPr>
        <w:t>Βεβαίωση εγγραφής στην Επετηρίδα Ιδιωτικών Εκπαιδευτικών (</w:t>
      </w:r>
      <w:proofErr w:type="spellStart"/>
      <w:r w:rsidRPr="003C34FE">
        <w:rPr>
          <w:sz w:val="28"/>
          <w:szCs w:val="28"/>
        </w:rPr>
        <w:t>άρ</w:t>
      </w:r>
      <w:proofErr w:type="spellEnd"/>
      <w:r w:rsidRPr="003C34FE">
        <w:rPr>
          <w:sz w:val="28"/>
          <w:szCs w:val="28"/>
        </w:rPr>
        <w:t xml:space="preserve">. 28, του ν.682/1977)5. </w:t>
      </w:r>
    </w:p>
    <w:p w:rsidR="003C34FE" w:rsidRPr="003C34FE" w:rsidRDefault="003C34FE" w:rsidP="003C34FE">
      <w:pPr>
        <w:pStyle w:val="Default"/>
        <w:spacing w:after="68"/>
        <w:rPr>
          <w:sz w:val="28"/>
          <w:szCs w:val="28"/>
        </w:rPr>
      </w:pPr>
      <w:r w:rsidRPr="003C34FE">
        <w:rPr>
          <w:b/>
          <w:bCs/>
          <w:sz w:val="28"/>
          <w:szCs w:val="28"/>
        </w:rPr>
        <w:t xml:space="preserve">4. </w:t>
      </w:r>
      <w:r w:rsidRPr="003C34FE">
        <w:rPr>
          <w:sz w:val="28"/>
          <w:szCs w:val="28"/>
        </w:rPr>
        <w:t xml:space="preserve">Φωτοαντίγραφο του Δελτίου Αστυνομικής Ταυτότητας της/του προτεινόμενης/νου εκπαιδευτικού. </w:t>
      </w:r>
    </w:p>
    <w:p w:rsidR="003C34FE" w:rsidRPr="003C34FE" w:rsidRDefault="003C34FE" w:rsidP="003C34FE">
      <w:pPr>
        <w:pStyle w:val="Default"/>
        <w:rPr>
          <w:sz w:val="28"/>
          <w:szCs w:val="28"/>
        </w:rPr>
      </w:pPr>
      <w:r w:rsidRPr="003C34FE">
        <w:rPr>
          <w:b/>
          <w:bCs/>
          <w:sz w:val="28"/>
          <w:szCs w:val="28"/>
        </w:rPr>
        <w:t xml:space="preserve">5. </w:t>
      </w:r>
      <w:r w:rsidRPr="003C34FE">
        <w:rPr>
          <w:sz w:val="28"/>
          <w:szCs w:val="28"/>
        </w:rPr>
        <w:t xml:space="preserve">Υπεύθυνη Δήλωση (του άρθρου 8 του ν.1599/1986) της/του προτεινόμενης/νου εκπαιδευτικού, στην οποία θα αναφέρεται: </w:t>
      </w:r>
    </w:p>
    <w:p w:rsidR="003C34FE" w:rsidRPr="003C34FE" w:rsidRDefault="003C34FE" w:rsidP="003C34FE">
      <w:pPr>
        <w:pStyle w:val="Default"/>
        <w:rPr>
          <w:sz w:val="28"/>
          <w:szCs w:val="28"/>
        </w:rPr>
      </w:pPr>
    </w:p>
    <w:p w:rsidR="003C34FE" w:rsidRPr="003C34FE" w:rsidRDefault="003C34FE" w:rsidP="003C34FE">
      <w:pPr>
        <w:pStyle w:val="Default"/>
        <w:rPr>
          <w:sz w:val="28"/>
          <w:szCs w:val="28"/>
        </w:rPr>
      </w:pPr>
      <w:r w:rsidRPr="003C34FE">
        <w:rPr>
          <w:sz w:val="28"/>
          <w:szCs w:val="28"/>
        </w:rPr>
        <w:t xml:space="preserve">5 Στην περίπτωση προσκόμισης του </w:t>
      </w:r>
      <w:proofErr w:type="spellStart"/>
      <w:r w:rsidRPr="003C34FE">
        <w:rPr>
          <w:sz w:val="28"/>
          <w:szCs w:val="28"/>
        </w:rPr>
        <w:t>αριθμ</w:t>
      </w:r>
      <w:proofErr w:type="spellEnd"/>
      <w:r w:rsidRPr="003C34FE">
        <w:rPr>
          <w:sz w:val="28"/>
          <w:szCs w:val="28"/>
        </w:rPr>
        <w:t xml:space="preserve">. </w:t>
      </w:r>
      <w:proofErr w:type="spellStart"/>
      <w:r w:rsidRPr="003C34FE">
        <w:rPr>
          <w:sz w:val="28"/>
          <w:szCs w:val="28"/>
        </w:rPr>
        <w:t>πρωτ</w:t>
      </w:r>
      <w:proofErr w:type="spellEnd"/>
      <w:r w:rsidRPr="003C34FE">
        <w:rPr>
          <w:sz w:val="28"/>
          <w:szCs w:val="28"/>
        </w:rPr>
        <w:t xml:space="preserve">. (του Κεντρικού Πρωτοκόλλου του ΥΠΠΕΘ) της </w:t>
      </w:r>
      <w:r w:rsidRPr="003C34FE">
        <w:rPr>
          <w:b/>
          <w:bCs/>
          <w:sz w:val="28"/>
          <w:szCs w:val="28"/>
        </w:rPr>
        <w:t xml:space="preserve">Αίτησης Εγγραφής, </w:t>
      </w:r>
      <w:r w:rsidRPr="003C34FE">
        <w:rPr>
          <w:sz w:val="28"/>
          <w:szCs w:val="28"/>
        </w:rPr>
        <w:t>η Δ/</w:t>
      </w:r>
      <w:proofErr w:type="spellStart"/>
      <w:r w:rsidRPr="003C34FE">
        <w:rPr>
          <w:sz w:val="28"/>
          <w:szCs w:val="28"/>
        </w:rPr>
        <w:t>νση</w:t>
      </w:r>
      <w:proofErr w:type="spellEnd"/>
      <w:r w:rsidRPr="003C34FE">
        <w:rPr>
          <w:sz w:val="28"/>
          <w:szCs w:val="28"/>
        </w:rPr>
        <w:t xml:space="preserve"> Εκπαίδευσης οφείλει να ενημερώσει άμεσα τη Δ/</w:t>
      </w:r>
      <w:proofErr w:type="spellStart"/>
      <w:r w:rsidRPr="003C34FE">
        <w:rPr>
          <w:sz w:val="28"/>
          <w:szCs w:val="28"/>
        </w:rPr>
        <w:t>νση</w:t>
      </w:r>
      <w:proofErr w:type="spellEnd"/>
      <w:r w:rsidRPr="003C34FE">
        <w:rPr>
          <w:sz w:val="28"/>
          <w:szCs w:val="28"/>
        </w:rPr>
        <w:t xml:space="preserve"> Ιδιωτικής Εκπαίδευσης/ Τμήμα Β’ για την επίσπευση της έκδοσης της πράξης εγγραφή και συνακόλουθα της Βεβαίωσης Εγγραφής στην Επετηρίδα. </w:t>
      </w:r>
    </w:p>
    <w:p w:rsidR="003C34FE" w:rsidRPr="003C34FE" w:rsidRDefault="003C34FE" w:rsidP="003C34FE">
      <w:pPr>
        <w:pStyle w:val="Default"/>
        <w:rPr>
          <w:sz w:val="28"/>
          <w:szCs w:val="28"/>
        </w:rPr>
      </w:pPr>
      <w:r w:rsidRPr="003C34FE">
        <w:rPr>
          <w:sz w:val="28"/>
          <w:szCs w:val="28"/>
        </w:rPr>
        <w:t>6 Στο άρθρο 8 του ν.3528/2007, στο οποίο εμπίπτουν και οι εκπαιδευτικοί των ιδιωτικών σχολικών μονάδων της Α/</w:t>
      </w:r>
      <w:proofErr w:type="spellStart"/>
      <w:r w:rsidRPr="003C34FE">
        <w:rPr>
          <w:sz w:val="28"/>
          <w:szCs w:val="28"/>
        </w:rPr>
        <w:t>θμιας</w:t>
      </w:r>
      <w:proofErr w:type="spellEnd"/>
      <w:r w:rsidRPr="003C34FE">
        <w:rPr>
          <w:sz w:val="28"/>
          <w:szCs w:val="28"/>
        </w:rPr>
        <w:t xml:space="preserve"> και Β/</w:t>
      </w:r>
      <w:proofErr w:type="spellStart"/>
      <w:r w:rsidRPr="003C34FE">
        <w:rPr>
          <w:sz w:val="28"/>
          <w:szCs w:val="28"/>
        </w:rPr>
        <w:t>θμιας</w:t>
      </w:r>
      <w:proofErr w:type="spellEnd"/>
      <w:r w:rsidRPr="003C34FE">
        <w:rPr>
          <w:sz w:val="28"/>
          <w:szCs w:val="28"/>
        </w:rPr>
        <w:t xml:space="preserve"> Εκπαίδευσης, ορίζεται: </w:t>
      </w:r>
    </w:p>
    <w:p w:rsidR="003C34FE" w:rsidRPr="003C34FE" w:rsidRDefault="003C34FE" w:rsidP="003C34FE">
      <w:pPr>
        <w:pStyle w:val="Default"/>
        <w:rPr>
          <w:sz w:val="28"/>
          <w:szCs w:val="28"/>
        </w:rPr>
      </w:pPr>
      <w:r w:rsidRPr="003C34FE">
        <w:rPr>
          <w:sz w:val="28"/>
          <w:szCs w:val="28"/>
        </w:rPr>
        <w:t>«</w:t>
      </w:r>
      <w:r w:rsidRPr="003C34FE">
        <w:rPr>
          <w:i/>
          <w:iCs/>
          <w:sz w:val="28"/>
          <w:szCs w:val="28"/>
        </w:rPr>
        <w:t xml:space="preserve">1. Δεν διορίζονται υπάλληλοι: 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</w:t>
      </w:r>
      <w:proofErr w:type="spellStart"/>
      <w:r w:rsidRPr="003C34FE">
        <w:rPr>
          <w:i/>
          <w:iCs/>
          <w:sz w:val="28"/>
          <w:szCs w:val="28"/>
        </w:rPr>
        <w:t>καθ΄</w:t>
      </w:r>
      <w:proofErr w:type="spellEnd"/>
      <w:r w:rsidRPr="003C34FE">
        <w:rPr>
          <w:i/>
          <w:iCs/>
          <w:sz w:val="28"/>
          <w:szCs w:val="28"/>
        </w:rPr>
        <w:t xml:space="preserve">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 β) Οι υπόδικοι που έχουν παραπεμφθεί με τελεσίδικο βούλευμα για κακούργημα ή για πλημμέλημα της περίπτωσης </w:t>
      </w:r>
      <w:proofErr w:type="spellStart"/>
      <w:r w:rsidRPr="003C34FE">
        <w:rPr>
          <w:i/>
          <w:iCs/>
          <w:sz w:val="28"/>
          <w:szCs w:val="28"/>
        </w:rPr>
        <w:t>α΄</w:t>
      </w:r>
      <w:proofErr w:type="spellEnd"/>
      <w:r w:rsidRPr="003C34FE">
        <w:rPr>
          <w:i/>
          <w:iCs/>
          <w:sz w:val="28"/>
          <w:szCs w:val="28"/>
        </w:rPr>
        <w:t>, έστω και αν το αδίκημα έχει παραγραφεί. γ) Όσοι, λόγω καταδίκης, έχουν στερηθεί τα πολιτικά τους δικαιώματα και για όσο χρόνο διαρκεί η στέρηση αυτή. 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καταστάσεις.</w:t>
      </w:r>
      <w:r w:rsidRPr="003C34FE">
        <w:rPr>
          <w:sz w:val="28"/>
          <w:szCs w:val="28"/>
        </w:rPr>
        <w:t xml:space="preserve">» </w:t>
      </w:r>
    </w:p>
    <w:p w:rsidR="003C34FE" w:rsidRPr="003C34FE" w:rsidRDefault="003C34FE" w:rsidP="003C34FE">
      <w:pPr>
        <w:pStyle w:val="Default"/>
        <w:rPr>
          <w:sz w:val="28"/>
          <w:szCs w:val="28"/>
        </w:rPr>
      </w:pPr>
      <w:r w:rsidRPr="003C34FE">
        <w:rPr>
          <w:sz w:val="28"/>
          <w:szCs w:val="28"/>
        </w:rPr>
        <w:t xml:space="preserve">7 Σχετική η </w:t>
      </w:r>
      <w:proofErr w:type="spellStart"/>
      <w:r w:rsidRPr="003C34FE">
        <w:rPr>
          <w:sz w:val="28"/>
          <w:szCs w:val="28"/>
        </w:rPr>
        <w:t>αριθμ</w:t>
      </w:r>
      <w:proofErr w:type="spellEnd"/>
      <w:r w:rsidRPr="003C34FE">
        <w:rPr>
          <w:sz w:val="28"/>
          <w:szCs w:val="28"/>
        </w:rPr>
        <w:t>. 146475/Ε1/9-9-2016 εγκύκλιος του ΥΠΠΕΘ με θέμα: «</w:t>
      </w:r>
      <w:r w:rsidRPr="003C34FE">
        <w:rPr>
          <w:i/>
          <w:iCs/>
          <w:sz w:val="28"/>
          <w:szCs w:val="28"/>
        </w:rPr>
        <w:t>Σχετικά με τις προϋποθέσεις πρόσληψης συνταξιούχων εκπαιδευτικών σε ιδιωτικά σχολεία</w:t>
      </w:r>
      <w:r w:rsidRPr="003C34FE">
        <w:rPr>
          <w:sz w:val="28"/>
          <w:szCs w:val="28"/>
        </w:rPr>
        <w:t xml:space="preserve">» </w:t>
      </w:r>
    </w:p>
    <w:p w:rsidR="003C34FE" w:rsidRPr="003C34FE" w:rsidRDefault="003C34FE" w:rsidP="003C34FE">
      <w:pPr>
        <w:pStyle w:val="Default"/>
        <w:rPr>
          <w:sz w:val="28"/>
          <w:szCs w:val="28"/>
        </w:rPr>
      </w:pPr>
      <w:r w:rsidRPr="003C34FE">
        <w:rPr>
          <w:i/>
          <w:iCs/>
          <w:sz w:val="28"/>
          <w:szCs w:val="28"/>
        </w:rPr>
        <w:t xml:space="preserve">«(α) Δεν έχει ασκηθεί εις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της γενετήσιας ζωής. </w:t>
      </w:r>
    </w:p>
    <w:p w:rsidR="003C34FE" w:rsidRPr="003C34FE" w:rsidRDefault="003C34FE" w:rsidP="003C34FE">
      <w:pPr>
        <w:pStyle w:val="Default"/>
        <w:rPr>
          <w:sz w:val="28"/>
          <w:szCs w:val="28"/>
        </w:rPr>
      </w:pPr>
      <w:r w:rsidRPr="003C34FE">
        <w:rPr>
          <w:i/>
          <w:iCs/>
          <w:sz w:val="28"/>
          <w:szCs w:val="28"/>
        </w:rPr>
        <w:t xml:space="preserve">(β) Δεν εμπίπτω στα κωλύματα του άρθρου 86 του ν.3528/2007 (Α’ 26) </w:t>
      </w:r>
    </w:p>
    <w:p w:rsidR="003C34FE" w:rsidRPr="003C34FE" w:rsidRDefault="003C34FE" w:rsidP="003C34FE">
      <w:pPr>
        <w:pStyle w:val="Default"/>
        <w:rPr>
          <w:sz w:val="28"/>
          <w:szCs w:val="28"/>
        </w:rPr>
      </w:pPr>
      <w:r w:rsidRPr="003C34FE">
        <w:rPr>
          <w:i/>
          <w:iCs/>
          <w:sz w:val="28"/>
          <w:szCs w:val="28"/>
        </w:rPr>
        <w:lastRenderedPageBreak/>
        <w:t xml:space="preserve">(γ) Εργάζομαι / ΔΕΝ εργάζομαι </w:t>
      </w:r>
      <w:r w:rsidRPr="003C34FE">
        <w:rPr>
          <w:sz w:val="28"/>
          <w:szCs w:val="28"/>
        </w:rPr>
        <w:t xml:space="preserve">[διαγράφεται κατά περίπτωση] </w:t>
      </w:r>
      <w:r w:rsidRPr="003C34FE">
        <w:rPr>
          <w:i/>
          <w:iCs/>
          <w:sz w:val="28"/>
          <w:szCs w:val="28"/>
        </w:rPr>
        <w:t xml:space="preserve">σε άλλη ιδιωτική σχολική μονάδα. </w:t>
      </w:r>
    </w:p>
    <w:p w:rsidR="003C34FE" w:rsidRPr="003C34FE" w:rsidRDefault="003C34FE" w:rsidP="003C34FE">
      <w:pPr>
        <w:pStyle w:val="Default"/>
        <w:rPr>
          <w:sz w:val="28"/>
          <w:szCs w:val="28"/>
        </w:rPr>
      </w:pPr>
      <w:r w:rsidRPr="003C34FE">
        <w:rPr>
          <w:i/>
          <w:iCs/>
          <w:sz w:val="28"/>
          <w:szCs w:val="28"/>
        </w:rPr>
        <w:t xml:space="preserve">(δ) Είμαι /ΔΕΝ Είμαι </w:t>
      </w:r>
      <w:r w:rsidRPr="003C34FE">
        <w:rPr>
          <w:sz w:val="28"/>
          <w:szCs w:val="28"/>
        </w:rPr>
        <w:t xml:space="preserve">[διαγράφεται κατά περίπτωση] </w:t>
      </w:r>
      <w:r w:rsidRPr="003C34FE">
        <w:rPr>
          <w:i/>
          <w:iCs/>
          <w:sz w:val="28"/>
          <w:szCs w:val="28"/>
        </w:rPr>
        <w:t xml:space="preserve">ιδιοκτήτης φροντιστηρίου. </w:t>
      </w:r>
    </w:p>
    <w:p w:rsidR="003C34FE" w:rsidRPr="003C34FE" w:rsidRDefault="003C34FE" w:rsidP="003C34FE">
      <w:pPr>
        <w:pStyle w:val="Default"/>
        <w:rPr>
          <w:sz w:val="28"/>
          <w:szCs w:val="28"/>
        </w:rPr>
      </w:pPr>
      <w:r w:rsidRPr="003C34FE">
        <w:rPr>
          <w:i/>
          <w:iCs/>
          <w:sz w:val="28"/>
          <w:szCs w:val="28"/>
        </w:rPr>
        <w:t xml:space="preserve">(ε) Εργάζομαι / ΔΕΝ Εργάζομαι </w:t>
      </w:r>
      <w:r w:rsidRPr="003C34FE">
        <w:rPr>
          <w:sz w:val="28"/>
          <w:szCs w:val="28"/>
        </w:rPr>
        <w:t xml:space="preserve">[διαγράφεται κατά περίπτωση] </w:t>
      </w:r>
      <w:r w:rsidRPr="003C34FE">
        <w:rPr>
          <w:i/>
          <w:iCs/>
          <w:sz w:val="28"/>
          <w:szCs w:val="28"/>
        </w:rPr>
        <w:t xml:space="preserve">σε φροντιστήριο. </w:t>
      </w:r>
    </w:p>
    <w:p w:rsidR="003C34FE" w:rsidRPr="003C34FE" w:rsidRDefault="003C34FE" w:rsidP="003C34FE">
      <w:pPr>
        <w:pStyle w:val="Default"/>
        <w:rPr>
          <w:sz w:val="28"/>
          <w:szCs w:val="28"/>
        </w:rPr>
      </w:pPr>
      <w:r w:rsidRPr="003C34FE">
        <w:rPr>
          <w:i/>
          <w:iCs/>
          <w:sz w:val="28"/>
          <w:szCs w:val="28"/>
        </w:rPr>
        <w:t>(στ) Δεν είμαι συνταξιούχος του δημόσιου τομέα ή άλλου ασφαλιστικού φορέα7 και δεν ασκώ εμπορία κατ’ επάγγελμα</w:t>
      </w:r>
      <w:r w:rsidRPr="003C34FE">
        <w:rPr>
          <w:sz w:val="28"/>
          <w:szCs w:val="28"/>
        </w:rPr>
        <w:t xml:space="preserve">». </w:t>
      </w:r>
    </w:p>
    <w:p w:rsidR="003C34FE" w:rsidRPr="003C34FE" w:rsidRDefault="003C34FE" w:rsidP="003C34FE">
      <w:pPr>
        <w:pStyle w:val="Default"/>
        <w:rPr>
          <w:sz w:val="28"/>
          <w:szCs w:val="28"/>
        </w:rPr>
      </w:pPr>
      <w:r w:rsidRPr="003C34FE">
        <w:rPr>
          <w:i/>
          <w:iCs/>
          <w:sz w:val="28"/>
          <w:szCs w:val="28"/>
        </w:rPr>
        <w:t xml:space="preserve">Σημείωση 1: Ο υποχρεωτικός αυτεπάγγελτος έλεγχος του ποινικού μητρώου του προτεινόμενου εκπαιδευτικού γίνεται από την εποπτεύουσα υπηρεσία μέσω της διαδικτυακής πύλης : </w:t>
      </w:r>
      <w:proofErr w:type="spellStart"/>
      <w:r w:rsidRPr="003C34FE">
        <w:rPr>
          <w:i/>
          <w:iCs/>
          <w:sz w:val="28"/>
          <w:szCs w:val="28"/>
        </w:rPr>
        <w:t>www.ncris.gov.gr</w:t>
      </w:r>
      <w:proofErr w:type="spellEnd"/>
      <w:r w:rsidRPr="003C34FE">
        <w:rPr>
          <w:i/>
          <w:iCs/>
          <w:sz w:val="28"/>
          <w:szCs w:val="28"/>
        </w:rPr>
        <w:t xml:space="preserve"> </w:t>
      </w:r>
    </w:p>
    <w:p w:rsidR="003C34FE" w:rsidRPr="003C34FE" w:rsidRDefault="003C34FE" w:rsidP="003C34FE">
      <w:pPr>
        <w:pStyle w:val="Default"/>
        <w:rPr>
          <w:sz w:val="28"/>
          <w:szCs w:val="28"/>
        </w:rPr>
      </w:pPr>
      <w:r w:rsidRPr="003C34FE">
        <w:rPr>
          <w:i/>
          <w:iCs/>
          <w:sz w:val="28"/>
          <w:szCs w:val="28"/>
        </w:rPr>
        <w:t xml:space="preserve">Σημείωση 2: Η αναγκαιότητα γνωστοποίησης των ιδιοτήτων των προτεινόμενων, οι οποίες αναφέρονται στις περιπτώσεις (γ), (δ) και (ε) της Υπεύθυνης Δήλωσης, απορρέει από το συνδυασμό των διατάξεων των </w:t>
      </w:r>
      <w:r w:rsidRPr="003C34FE">
        <w:rPr>
          <w:b/>
          <w:bCs/>
          <w:i/>
          <w:iCs/>
          <w:sz w:val="28"/>
          <w:szCs w:val="28"/>
        </w:rPr>
        <w:t xml:space="preserve">άρθρων 62 </w:t>
      </w:r>
      <w:r w:rsidRPr="003C34FE">
        <w:rPr>
          <w:i/>
          <w:iCs/>
          <w:sz w:val="28"/>
          <w:szCs w:val="28"/>
        </w:rPr>
        <w:t xml:space="preserve">παρ. 7, </w:t>
      </w:r>
      <w:r w:rsidRPr="003C34FE">
        <w:rPr>
          <w:b/>
          <w:bCs/>
          <w:i/>
          <w:iCs/>
          <w:sz w:val="28"/>
          <w:szCs w:val="28"/>
        </w:rPr>
        <w:t xml:space="preserve">13 </w:t>
      </w:r>
      <w:r w:rsidRPr="003C34FE">
        <w:rPr>
          <w:i/>
          <w:iCs/>
          <w:sz w:val="28"/>
          <w:szCs w:val="28"/>
        </w:rPr>
        <w:t xml:space="preserve">παρ. 9, και </w:t>
      </w:r>
      <w:r w:rsidRPr="003C34FE">
        <w:rPr>
          <w:b/>
          <w:bCs/>
          <w:i/>
          <w:iCs/>
          <w:sz w:val="28"/>
          <w:szCs w:val="28"/>
        </w:rPr>
        <w:t xml:space="preserve">14 </w:t>
      </w:r>
      <w:r w:rsidRPr="003C34FE">
        <w:rPr>
          <w:i/>
          <w:iCs/>
          <w:sz w:val="28"/>
          <w:szCs w:val="28"/>
        </w:rPr>
        <w:t xml:space="preserve">παρ. 16, 17, 20 και 21, του </w:t>
      </w:r>
      <w:r w:rsidRPr="003C34FE">
        <w:rPr>
          <w:b/>
          <w:bCs/>
          <w:i/>
          <w:iCs/>
          <w:sz w:val="28"/>
          <w:szCs w:val="28"/>
        </w:rPr>
        <w:t xml:space="preserve">ν.1566/1985 </w:t>
      </w:r>
      <w:r w:rsidRPr="003C34FE">
        <w:rPr>
          <w:i/>
          <w:iCs/>
          <w:sz w:val="28"/>
          <w:szCs w:val="28"/>
        </w:rPr>
        <w:t xml:space="preserve">(Α’167), του </w:t>
      </w:r>
      <w:r w:rsidRPr="003C34FE">
        <w:rPr>
          <w:b/>
          <w:bCs/>
          <w:i/>
          <w:iCs/>
          <w:sz w:val="28"/>
          <w:szCs w:val="28"/>
        </w:rPr>
        <w:t>άρθρου 53</w:t>
      </w:r>
      <w:r w:rsidRPr="003C34FE">
        <w:rPr>
          <w:i/>
          <w:iCs/>
          <w:sz w:val="28"/>
          <w:szCs w:val="28"/>
        </w:rPr>
        <w:t xml:space="preserve">, παρ. 2 του </w:t>
      </w:r>
      <w:r w:rsidRPr="003C34FE">
        <w:rPr>
          <w:b/>
          <w:bCs/>
          <w:i/>
          <w:iCs/>
          <w:sz w:val="28"/>
          <w:szCs w:val="28"/>
        </w:rPr>
        <w:t xml:space="preserve">ν.2721/1999 </w:t>
      </w:r>
      <w:r w:rsidRPr="003C34FE">
        <w:rPr>
          <w:i/>
          <w:iCs/>
          <w:sz w:val="28"/>
          <w:szCs w:val="28"/>
        </w:rPr>
        <w:t xml:space="preserve">(Α’ 112) και του </w:t>
      </w:r>
      <w:r w:rsidRPr="003C34FE">
        <w:rPr>
          <w:b/>
          <w:bCs/>
          <w:i/>
          <w:iCs/>
          <w:sz w:val="28"/>
          <w:szCs w:val="28"/>
        </w:rPr>
        <w:t>άρθρου 31</w:t>
      </w:r>
      <w:r w:rsidRPr="003C34FE">
        <w:rPr>
          <w:i/>
          <w:iCs/>
          <w:sz w:val="28"/>
          <w:szCs w:val="28"/>
        </w:rPr>
        <w:t xml:space="preserve">, παρ. 1 και 2, του </w:t>
      </w:r>
      <w:r w:rsidRPr="003C34FE">
        <w:rPr>
          <w:b/>
          <w:bCs/>
          <w:i/>
          <w:iCs/>
          <w:sz w:val="28"/>
          <w:szCs w:val="28"/>
        </w:rPr>
        <w:t xml:space="preserve">ν.3528/2007 </w:t>
      </w:r>
      <w:r w:rsidRPr="003C34FE">
        <w:rPr>
          <w:i/>
          <w:iCs/>
          <w:sz w:val="28"/>
          <w:szCs w:val="28"/>
        </w:rPr>
        <w:t xml:space="preserve">(Α’ 26). </w:t>
      </w:r>
    </w:p>
    <w:p w:rsidR="003C34FE" w:rsidRPr="003C34FE" w:rsidRDefault="003C34FE" w:rsidP="003C34FE">
      <w:pPr>
        <w:pStyle w:val="Default"/>
        <w:spacing w:after="66"/>
        <w:rPr>
          <w:sz w:val="28"/>
          <w:szCs w:val="28"/>
        </w:rPr>
      </w:pPr>
      <w:r w:rsidRPr="003C34FE">
        <w:rPr>
          <w:b/>
          <w:bCs/>
          <w:sz w:val="28"/>
          <w:szCs w:val="28"/>
        </w:rPr>
        <w:t xml:space="preserve">6. </w:t>
      </w:r>
      <w:r w:rsidRPr="003C34FE">
        <w:rPr>
          <w:sz w:val="28"/>
          <w:szCs w:val="28"/>
        </w:rPr>
        <w:t xml:space="preserve">Δύο ιατρικές γνωματεύσεις, είτε από δημόσιο φορέα είτε από ιδιώτες ιατρούς (άρθρο 7, παρ. 2 του ν.3528/2007, όπως ισχύει): (α) παθολόγου ή γενικού ιατρού και (β) ψυχιάτρου. </w:t>
      </w:r>
    </w:p>
    <w:p w:rsidR="003C34FE" w:rsidRDefault="003C34FE" w:rsidP="003C34FE">
      <w:pPr>
        <w:pStyle w:val="Default"/>
        <w:rPr>
          <w:sz w:val="28"/>
          <w:szCs w:val="28"/>
        </w:rPr>
      </w:pPr>
      <w:r w:rsidRPr="003C34FE">
        <w:rPr>
          <w:b/>
          <w:bCs/>
          <w:sz w:val="28"/>
          <w:szCs w:val="28"/>
        </w:rPr>
        <w:t xml:space="preserve">7. </w:t>
      </w:r>
      <w:r w:rsidRPr="003C34FE">
        <w:rPr>
          <w:sz w:val="28"/>
          <w:szCs w:val="28"/>
        </w:rPr>
        <w:t>Κάθε άλλο έγγραφο που η εποπτεύουσα υπηρεσία κρίνει αναγκαίο για την έκδοση της ατομικής διοικητικής πράξης πρόσληψης (</w:t>
      </w:r>
      <w:r w:rsidRPr="003C34FE">
        <w:rPr>
          <w:i/>
          <w:iCs/>
          <w:sz w:val="28"/>
          <w:szCs w:val="28"/>
        </w:rPr>
        <w:t>διοριστήριο</w:t>
      </w:r>
      <w:r w:rsidRPr="003C34FE">
        <w:rPr>
          <w:sz w:val="28"/>
          <w:szCs w:val="28"/>
        </w:rPr>
        <w:t>) του προτεινόμενου εκπαιδευτικού.</w:t>
      </w:r>
    </w:p>
    <w:p w:rsidR="003C34FE" w:rsidRPr="003C34FE" w:rsidRDefault="003C34FE" w:rsidP="003C34FE">
      <w:pPr>
        <w:pStyle w:val="Default"/>
        <w:rPr>
          <w:sz w:val="28"/>
          <w:szCs w:val="28"/>
        </w:rPr>
      </w:pPr>
      <w:r w:rsidRPr="003C34FE">
        <w:rPr>
          <w:sz w:val="28"/>
          <w:szCs w:val="28"/>
        </w:rPr>
        <w:t xml:space="preserve"> </w:t>
      </w:r>
      <w:r>
        <w:rPr>
          <w:sz w:val="28"/>
          <w:szCs w:val="28"/>
        </w:rPr>
        <w:t>(π.χ. ΒΕΒΑΙΩΣΗ ΠΡΟΫΠΗΡΕΣΙΑΣ ΣΕ ΔΗΜΟΣΙΟ Ή ΙΔΙΩΤΙΚΟ ΦΟΡΕΑ,ΜΕΤΑΠΤΥΧΙΑΚΟ κ.τ.λ.)</w:t>
      </w:r>
    </w:p>
    <w:p w:rsidR="000F055A" w:rsidRPr="003C34FE" w:rsidRDefault="000F055A">
      <w:pPr>
        <w:rPr>
          <w:sz w:val="28"/>
          <w:szCs w:val="28"/>
        </w:rPr>
      </w:pPr>
    </w:p>
    <w:sectPr w:rsidR="000F055A" w:rsidRPr="003C34FE" w:rsidSect="00C278A0">
      <w:pgSz w:w="11906" w:h="17338"/>
      <w:pgMar w:top="1302" w:right="899" w:bottom="658" w:left="131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4FE"/>
    <w:rsid w:val="000F055A"/>
    <w:rsid w:val="003C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34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IDIWTIKH-EKP</dc:creator>
  <cp:keywords/>
  <dc:description/>
  <cp:lastModifiedBy>IDIWTIKH-EKP</cp:lastModifiedBy>
  <cp:revision>2</cp:revision>
  <dcterms:created xsi:type="dcterms:W3CDTF">2019-02-14T11:37:00Z</dcterms:created>
  <dcterms:modified xsi:type="dcterms:W3CDTF">2019-02-14T11:41:00Z</dcterms:modified>
</cp:coreProperties>
</file>